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A7A2">
      <w:pPr>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新乡市</w:t>
      </w:r>
      <w:r>
        <w:rPr>
          <w:rFonts w:hint="eastAsia" w:eastAsia="方正小标宋简体"/>
          <w:color w:val="000000"/>
          <w:sz w:val="32"/>
          <w:szCs w:val="32"/>
        </w:rPr>
        <w:t>织物蒸汽机</w:t>
      </w:r>
      <w:r>
        <w:rPr>
          <w:rFonts w:eastAsia="方正小标宋简体"/>
          <w:color w:val="000000"/>
          <w:sz w:val="32"/>
          <w:szCs w:val="32"/>
        </w:rPr>
        <w:t>产品质量监督抽查实施细则</w:t>
      </w:r>
    </w:p>
    <w:p w14:paraId="4B78B190">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6</w:t>
      </w:r>
      <w:bookmarkStart w:id="8" w:name="_GoBack"/>
      <w:bookmarkEnd w:id="8"/>
      <w:r>
        <w:rPr>
          <w:rFonts w:eastAsia="方正小标宋简体"/>
          <w:color w:val="000000"/>
          <w:sz w:val="32"/>
          <w:szCs w:val="32"/>
        </w:rPr>
        <w:t>年版）</w:t>
      </w:r>
    </w:p>
    <w:p w14:paraId="3BA5B9DB">
      <w:pPr>
        <w:snapToGrid w:val="0"/>
        <w:spacing w:line="440" w:lineRule="exact"/>
        <w:ind w:firstLine="359" w:firstLineChars="171"/>
        <w:rPr>
          <w:color w:val="000000"/>
          <w:szCs w:val="21"/>
        </w:rPr>
      </w:pPr>
    </w:p>
    <w:p w14:paraId="34E8C3DD">
      <w:pPr>
        <w:snapToGrid w:val="0"/>
        <w:spacing w:line="440" w:lineRule="exact"/>
        <w:rPr>
          <w:rFonts w:eastAsia="黑体"/>
          <w:color w:val="000000"/>
          <w:szCs w:val="21"/>
        </w:rPr>
      </w:pPr>
      <w:r>
        <w:rPr>
          <w:rFonts w:eastAsia="黑体"/>
          <w:color w:val="000000"/>
          <w:szCs w:val="21"/>
        </w:rPr>
        <w:t>1 抽样方法</w:t>
      </w:r>
    </w:p>
    <w:p w14:paraId="0BB54599">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CD3A1EE">
      <w:pPr>
        <w:snapToGrid w:val="0"/>
        <w:spacing w:line="440" w:lineRule="exact"/>
        <w:ind w:firstLine="420" w:firstLineChars="200"/>
        <w:rPr>
          <w:color w:val="000000"/>
          <w:szCs w:val="21"/>
        </w:rPr>
      </w:pPr>
      <w:r>
        <w:rPr>
          <w:color w:val="000000"/>
          <w:szCs w:val="21"/>
        </w:rPr>
        <w:t>随机数一般可使用随机数表等方法产生。</w:t>
      </w:r>
    </w:p>
    <w:p w14:paraId="0D48A9F2">
      <w:pPr>
        <w:snapToGrid w:val="0"/>
        <w:spacing w:line="440" w:lineRule="exact"/>
        <w:ind w:firstLine="420" w:firstLineChars="200"/>
        <w:rPr>
          <w:color w:val="000000"/>
          <w:szCs w:val="21"/>
        </w:rPr>
      </w:pPr>
      <w:r>
        <w:rPr>
          <w:color w:val="000000"/>
          <w:szCs w:val="21"/>
        </w:rPr>
        <w:t>每批次产品抽取样品3台，其中2台作为检验样品，1台作为备用样品。</w:t>
      </w:r>
    </w:p>
    <w:p w14:paraId="5B878C4B">
      <w:pPr>
        <w:snapToGrid w:val="0"/>
        <w:spacing w:line="440" w:lineRule="exact"/>
        <w:rPr>
          <w:color w:val="000000"/>
          <w:szCs w:val="21"/>
        </w:rPr>
      </w:pPr>
    </w:p>
    <w:p w14:paraId="7302F9AA">
      <w:pPr>
        <w:snapToGrid w:val="0"/>
        <w:spacing w:line="440" w:lineRule="exact"/>
        <w:rPr>
          <w:rFonts w:eastAsia="黑体"/>
          <w:color w:val="000000"/>
          <w:szCs w:val="21"/>
        </w:rPr>
      </w:pPr>
      <w:r>
        <w:rPr>
          <w:rFonts w:eastAsia="黑体"/>
          <w:color w:val="000000"/>
          <w:szCs w:val="21"/>
        </w:rPr>
        <w:t>2 检验依据</w:t>
      </w:r>
    </w:p>
    <w:p w14:paraId="1C1C3B7C">
      <w:pPr>
        <w:snapToGrid w:val="0"/>
        <w:spacing w:line="440" w:lineRule="exact"/>
        <w:jc w:val="center"/>
        <w:rPr>
          <w:color w:val="000000"/>
          <w:szCs w:val="21"/>
        </w:rPr>
      </w:pPr>
    </w:p>
    <w:tbl>
      <w:tblPr>
        <w:tblStyle w:val="8"/>
        <w:tblW w:w="47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4414"/>
        <w:gridCol w:w="3417"/>
      </w:tblGrid>
      <w:tr w14:paraId="0568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471" w:type="pct"/>
            <w:noWrap w:val="0"/>
            <w:vAlign w:val="top"/>
          </w:tcPr>
          <w:p w14:paraId="395D5789">
            <w:pPr>
              <w:snapToGrid w:val="0"/>
              <w:spacing w:line="300" w:lineRule="exact"/>
              <w:jc w:val="center"/>
              <w:rPr>
                <w:color w:val="000000"/>
                <w:szCs w:val="21"/>
              </w:rPr>
            </w:pPr>
            <w:bookmarkStart w:id="0" w:name="OLE_LINK74" w:colFirst="2" w:colLast="66"/>
            <w:bookmarkStart w:id="1" w:name="_Hlk194506580"/>
            <w:bookmarkStart w:id="2" w:name="OLE_LINK75" w:colFirst="2" w:colLast="66"/>
            <w:r>
              <w:rPr>
                <w:color w:val="000000"/>
                <w:szCs w:val="21"/>
              </w:rPr>
              <w:t>序号</w:t>
            </w:r>
          </w:p>
        </w:tc>
        <w:tc>
          <w:tcPr>
            <w:tcW w:w="2552" w:type="pct"/>
            <w:noWrap w:val="0"/>
            <w:vAlign w:val="top"/>
          </w:tcPr>
          <w:p w14:paraId="7451C248">
            <w:pPr>
              <w:snapToGrid w:val="0"/>
              <w:spacing w:line="300" w:lineRule="exact"/>
              <w:jc w:val="center"/>
              <w:rPr>
                <w:color w:val="000000"/>
                <w:szCs w:val="21"/>
              </w:rPr>
            </w:pPr>
            <w:r>
              <w:rPr>
                <w:color w:val="000000"/>
                <w:szCs w:val="21"/>
              </w:rPr>
              <w:t>检验项目</w:t>
            </w:r>
          </w:p>
        </w:tc>
        <w:tc>
          <w:tcPr>
            <w:tcW w:w="1975" w:type="pct"/>
            <w:noWrap w:val="0"/>
            <w:vAlign w:val="top"/>
          </w:tcPr>
          <w:p w14:paraId="1F3082AC">
            <w:pPr>
              <w:snapToGrid w:val="0"/>
              <w:spacing w:line="300" w:lineRule="exact"/>
              <w:jc w:val="center"/>
              <w:rPr>
                <w:color w:val="000000"/>
                <w:szCs w:val="21"/>
              </w:rPr>
            </w:pPr>
            <w:r>
              <w:rPr>
                <w:color w:val="000000"/>
                <w:szCs w:val="21"/>
              </w:rPr>
              <w:t>检验方法</w:t>
            </w:r>
          </w:p>
        </w:tc>
      </w:tr>
      <w:tr w14:paraId="4C05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4E15360F">
            <w:pPr>
              <w:spacing w:line="300" w:lineRule="exact"/>
              <w:jc w:val="center"/>
              <w:textAlignment w:val="center"/>
              <w:rPr>
                <w:color w:val="000000"/>
                <w:szCs w:val="21"/>
              </w:rPr>
            </w:pPr>
            <w:bookmarkStart w:id="3" w:name="OLE_LINK46" w:colFirst="2" w:colLast="66"/>
            <w:r>
              <w:rPr>
                <w:kern w:val="0"/>
                <w:szCs w:val="21"/>
              </w:rPr>
              <w:t>1</w:t>
            </w:r>
          </w:p>
        </w:tc>
        <w:tc>
          <w:tcPr>
            <w:tcW w:w="2552" w:type="pct"/>
            <w:noWrap w:val="0"/>
            <w:vAlign w:val="center"/>
          </w:tcPr>
          <w:p w14:paraId="783B9874">
            <w:pPr>
              <w:snapToGrid w:val="0"/>
              <w:spacing w:line="300" w:lineRule="exact"/>
              <w:jc w:val="center"/>
              <w:rPr>
                <w:color w:val="000000"/>
                <w:szCs w:val="21"/>
              </w:rPr>
            </w:pPr>
            <w:r>
              <w:rPr>
                <w:rFonts w:hint="eastAsia"/>
                <w:color w:val="000000"/>
                <w:szCs w:val="21"/>
              </w:rPr>
              <w:t>对触及带电部件的防护</w:t>
            </w:r>
          </w:p>
        </w:tc>
        <w:tc>
          <w:tcPr>
            <w:tcW w:w="1975" w:type="pct"/>
            <w:noWrap w:val="0"/>
            <w:vAlign w:val="center"/>
          </w:tcPr>
          <w:p w14:paraId="2E1A86A7">
            <w:pPr>
              <w:spacing w:line="300" w:lineRule="exact"/>
              <w:jc w:val="center"/>
              <w:rPr>
                <w:szCs w:val="21"/>
              </w:rPr>
            </w:pPr>
            <w:r>
              <w:rPr>
                <w:szCs w:val="21"/>
              </w:rPr>
              <w:t>GB 4706.1—2005</w:t>
            </w:r>
          </w:p>
          <w:p w14:paraId="143E460E">
            <w:pPr>
              <w:spacing w:line="300" w:lineRule="exact"/>
              <w:jc w:val="center"/>
              <w:rPr>
                <w:rFonts w:hint="eastAsia"/>
                <w:szCs w:val="21"/>
              </w:rPr>
            </w:pPr>
            <w:r>
              <w:rPr>
                <w:szCs w:val="21"/>
              </w:rPr>
              <w:t>GB 4706.84—2007</w:t>
            </w:r>
          </w:p>
          <w:p w14:paraId="5B52804C">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7A789B46">
            <w:pPr>
              <w:snapToGrid w:val="0"/>
              <w:spacing w:line="300" w:lineRule="exact"/>
              <w:jc w:val="center"/>
              <w:rPr>
                <w:color w:val="000000"/>
                <w:szCs w:val="21"/>
              </w:rPr>
            </w:pPr>
            <w:r>
              <w:rPr>
                <w:szCs w:val="21"/>
              </w:rPr>
              <w:t>GB/T 4706.84—20</w:t>
            </w:r>
            <w:r>
              <w:rPr>
                <w:rFonts w:hint="eastAsia"/>
                <w:szCs w:val="21"/>
              </w:rPr>
              <w:t>24</w:t>
            </w:r>
          </w:p>
        </w:tc>
      </w:tr>
      <w:bookmarkEnd w:id="3"/>
      <w:tr w14:paraId="4267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728031C6">
            <w:pPr>
              <w:spacing w:line="300" w:lineRule="exact"/>
              <w:jc w:val="center"/>
              <w:textAlignment w:val="center"/>
              <w:rPr>
                <w:color w:val="000000"/>
                <w:szCs w:val="21"/>
              </w:rPr>
            </w:pPr>
            <w:r>
              <w:rPr>
                <w:kern w:val="0"/>
                <w:szCs w:val="21"/>
              </w:rPr>
              <w:t>2</w:t>
            </w:r>
          </w:p>
        </w:tc>
        <w:tc>
          <w:tcPr>
            <w:tcW w:w="2552" w:type="pct"/>
            <w:noWrap w:val="0"/>
            <w:vAlign w:val="center"/>
          </w:tcPr>
          <w:p w14:paraId="3ED788C1">
            <w:pPr>
              <w:snapToGrid w:val="0"/>
              <w:spacing w:line="300" w:lineRule="exact"/>
              <w:jc w:val="center"/>
              <w:rPr>
                <w:color w:val="000000"/>
                <w:szCs w:val="21"/>
              </w:rPr>
            </w:pPr>
            <w:r>
              <w:rPr>
                <w:rFonts w:hint="eastAsia"/>
                <w:color w:val="000000"/>
                <w:szCs w:val="21"/>
              </w:rPr>
              <w:t>输入功率和电流</w:t>
            </w:r>
          </w:p>
        </w:tc>
        <w:tc>
          <w:tcPr>
            <w:tcW w:w="1975" w:type="pct"/>
            <w:noWrap w:val="0"/>
            <w:vAlign w:val="center"/>
          </w:tcPr>
          <w:p w14:paraId="2646F6A8">
            <w:pPr>
              <w:spacing w:line="300" w:lineRule="exact"/>
              <w:jc w:val="center"/>
              <w:rPr>
                <w:szCs w:val="21"/>
              </w:rPr>
            </w:pPr>
            <w:r>
              <w:rPr>
                <w:szCs w:val="21"/>
              </w:rPr>
              <w:t>GB 4706.1—2005</w:t>
            </w:r>
          </w:p>
          <w:p w14:paraId="765B61E4">
            <w:pPr>
              <w:spacing w:line="300" w:lineRule="exact"/>
              <w:jc w:val="center"/>
              <w:rPr>
                <w:rFonts w:hint="eastAsia"/>
                <w:szCs w:val="21"/>
              </w:rPr>
            </w:pPr>
            <w:r>
              <w:rPr>
                <w:szCs w:val="21"/>
              </w:rPr>
              <w:t>GB 4706.84—2007</w:t>
            </w:r>
          </w:p>
          <w:p w14:paraId="43943AB1">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526FB708">
            <w:pPr>
              <w:snapToGrid w:val="0"/>
              <w:spacing w:line="300" w:lineRule="exact"/>
              <w:jc w:val="center"/>
              <w:rPr>
                <w:color w:val="000000"/>
                <w:szCs w:val="21"/>
              </w:rPr>
            </w:pPr>
            <w:r>
              <w:rPr>
                <w:szCs w:val="21"/>
              </w:rPr>
              <w:t>GB/T 4706.84—20</w:t>
            </w:r>
            <w:r>
              <w:rPr>
                <w:rFonts w:hint="eastAsia"/>
                <w:szCs w:val="21"/>
              </w:rPr>
              <w:t>24</w:t>
            </w:r>
          </w:p>
        </w:tc>
      </w:tr>
      <w:tr w14:paraId="53902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5E4F9273">
            <w:pPr>
              <w:spacing w:line="300" w:lineRule="exact"/>
              <w:jc w:val="center"/>
              <w:textAlignment w:val="center"/>
              <w:rPr>
                <w:color w:val="000000"/>
                <w:szCs w:val="21"/>
              </w:rPr>
            </w:pPr>
            <w:r>
              <w:rPr>
                <w:kern w:val="0"/>
                <w:szCs w:val="21"/>
              </w:rPr>
              <w:t>3</w:t>
            </w:r>
          </w:p>
        </w:tc>
        <w:tc>
          <w:tcPr>
            <w:tcW w:w="2552" w:type="pct"/>
            <w:noWrap w:val="0"/>
            <w:vAlign w:val="center"/>
          </w:tcPr>
          <w:p w14:paraId="4DEEA20E">
            <w:pPr>
              <w:snapToGrid w:val="0"/>
              <w:spacing w:line="300" w:lineRule="exact"/>
              <w:jc w:val="center"/>
              <w:rPr>
                <w:color w:val="000000"/>
                <w:szCs w:val="21"/>
              </w:rPr>
            </w:pPr>
            <w:r>
              <w:rPr>
                <w:rFonts w:hint="eastAsia"/>
                <w:color w:val="000000"/>
                <w:szCs w:val="21"/>
              </w:rPr>
              <w:t>发热</w:t>
            </w:r>
          </w:p>
        </w:tc>
        <w:tc>
          <w:tcPr>
            <w:tcW w:w="1975" w:type="pct"/>
            <w:noWrap w:val="0"/>
            <w:vAlign w:val="center"/>
          </w:tcPr>
          <w:p w14:paraId="6B4247AF">
            <w:pPr>
              <w:spacing w:line="300" w:lineRule="exact"/>
              <w:jc w:val="center"/>
              <w:rPr>
                <w:szCs w:val="21"/>
              </w:rPr>
            </w:pPr>
            <w:r>
              <w:rPr>
                <w:szCs w:val="21"/>
              </w:rPr>
              <w:t>GB 4706.1—2005</w:t>
            </w:r>
          </w:p>
          <w:p w14:paraId="3543B384">
            <w:pPr>
              <w:spacing w:line="300" w:lineRule="exact"/>
              <w:jc w:val="center"/>
              <w:rPr>
                <w:rFonts w:hint="eastAsia"/>
                <w:szCs w:val="21"/>
              </w:rPr>
            </w:pPr>
            <w:r>
              <w:rPr>
                <w:szCs w:val="21"/>
              </w:rPr>
              <w:t>GB 4706.84—2007</w:t>
            </w:r>
          </w:p>
          <w:p w14:paraId="131DB5C6">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265A5827">
            <w:pPr>
              <w:snapToGrid w:val="0"/>
              <w:spacing w:line="300" w:lineRule="exact"/>
              <w:jc w:val="center"/>
              <w:rPr>
                <w:color w:val="000000"/>
                <w:szCs w:val="21"/>
              </w:rPr>
            </w:pPr>
            <w:r>
              <w:rPr>
                <w:szCs w:val="21"/>
              </w:rPr>
              <w:t>GB/T 4706.84—20</w:t>
            </w:r>
            <w:r>
              <w:rPr>
                <w:rFonts w:hint="eastAsia"/>
                <w:szCs w:val="21"/>
              </w:rPr>
              <w:t>24</w:t>
            </w:r>
          </w:p>
        </w:tc>
      </w:tr>
      <w:tr w14:paraId="6AB69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2E33EF21">
            <w:pPr>
              <w:spacing w:line="300" w:lineRule="exact"/>
              <w:jc w:val="center"/>
              <w:textAlignment w:val="center"/>
              <w:rPr>
                <w:color w:val="000000"/>
                <w:szCs w:val="21"/>
              </w:rPr>
            </w:pPr>
            <w:r>
              <w:rPr>
                <w:kern w:val="0"/>
                <w:szCs w:val="21"/>
              </w:rPr>
              <w:t>4</w:t>
            </w:r>
          </w:p>
        </w:tc>
        <w:tc>
          <w:tcPr>
            <w:tcW w:w="2552" w:type="pct"/>
            <w:noWrap w:val="0"/>
            <w:vAlign w:val="center"/>
          </w:tcPr>
          <w:p w14:paraId="5981183D">
            <w:pPr>
              <w:snapToGrid w:val="0"/>
              <w:spacing w:line="300" w:lineRule="exact"/>
              <w:jc w:val="center"/>
              <w:rPr>
                <w:color w:val="000000"/>
                <w:szCs w:val="21"/>
              </w:rPr>
            </w:pPr>
            <w:r>
              <w:rPr>
                <w:rFonts w:hint="eastAsia"/>
                <w:color w:val="000000"/>
                <w:szCs w:val="21"/>
              </w:rPr>
              <w:t>工作温度下的泄漏电流和电气强度</w:t>
            </w:r>
          </w:p>
        </w:tc>
        <w:tc>
          <w:tcPr>
            <w:tcW w:w="1975" w:type="pct"/>
            <w:noWrap w:val="0"/>
            <w:vAlign w:val="center"/>
          </w:tcPr>
          <w:p w14:paraId="00A4697B">
            <w:pPr>
              <w:spacing w:line="300" w:lineRule="exact"/>
              <w:jc w:val="center"/>
              <w:rPr>
                <w:szCs w:val="21"/>
              </w:rPr>
            </w:pPr>
            <w:r>
              <w:rPr>
                <w:szCs w:val="21"/>
              </w:rPr>
              <w:t>GB 4706.1—2005</w:t>
            </w:r>
          </w:p>
          <w:p w14:paraId="5C1A2183">
            <w:pPr>
              <w:spacing w:line="300" w:lineRule="exact"/>
              <w:jc w:val="center"/>
              <w:rPr>
                <w:rFonts w:hint="eastAsia"/>
                <w:szCs w:val="21"/>
              </w:rPr>
            </w:pPr>
            <w:r>
              <w:rPr>
                <w:szCs w:val="21"/>
              </w:rPr>
              <w:t>GB 4706.84—2007</w:t>
            </w:r>
          </w:p>
          <w:p w14:paraId="55BCCB05">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637FFF18">
            <w:pPr>
              <w:snapToGrid w:val="0"/>
              <w:spacing w:line="300" w:lineRule="exact"/>
              <w:jc w:val="center"/>
              <w:rPr>
                <w:color w:val="000000"/>
                <w:szCs w:val="21"/>
              </w:rPr>
            </w:pPr>
            <w:r>
              <w:rPr>
                <w:szCs w:val="21"/>
              </w:rPr>
              <w:t>GB/T 4706.84—20</w:t>
            </w:r>
            <w:r>
              <w:rPr>
                <w:rFonts w:hint="eastAsia"/>
                <w:szCs w:val="21"/>
              </w:rPr>
              <w:t>24</w:t>
            </w:r>
          </w:p>
        </w:tc>
      </w:tr>
      <w:tr w14:paraId="784B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7F48B987">
            <w:pPr>
              <w:spacing w:line="300" w:lineRule="exact"/>
              <w:jc w:val="center"/>
              <w:textAlignment w:val="center"/>
              <w:rPr>
                <w:color w:val="000000"/>
                <w:szCs w:val="21"/>
              </w:rPr>
            </w:pPr>
            <w:r>
              <w:rPr>
                <w:kern w:val="0"/>
                <w:szCs w:val="21"/>
              </w:rPr>
              <w:t>5</w:t>
            </w:r>
          </w:p>
        </w:tc>
        <w:tc>
          <w:tcPr>
            <w:tcW w:w="2552" w:type="pct"/>
            <w:noWrap w:val="0"/>
            <w:vAlign w:val="center"/>
          </w:tcPr>
          <w:p w14:paraId="47CBA79D">
            <w:pPr>
              <w:snapToGrid w:val="0"/>
              <w:spacing w:line="300" w:lineRule="exact"/>
              <w:jc w:val="center"/>
              <w:rPr>
                <w:color w:val="000000"/>
                <w:szCs w:val="21"/>
              </w:rPr>
            </w:pPr>
            <w:r>
              <w:rPr>
                <w:rFonts w:hint="eastAsia"/>
                <w:color w:val="000000"/>
                <w:szCs w:val="21"/>
              </w:rPr>
              <w:t>耐潮泄漏电流和电气强度</w:t>
            </w:r>
          </w:p>
        </w:tc>
        <w:tc>
          <w:tcPr>
            <w:tcW w:w="1975" w:type="pct"/>
            <w:noWrap w:val="0"/>
            <w:vAlign w:val="center"/>
          </w:tcPr>
          <w:p w14:paraId="4F209346">
            <w:pPr>
              <w:spacing w:line="300" w:lineRule="exact"/>
              <w:jc w:val="center"/>
              <w:rPr>
                <w:szCs w:val="21"/>
              </w:rPr>
            </w:pPr>
            <w:r>
              <w:rPr>
                <w:szCs w:val="21"/>
              </w:rPr>
              <w:t>GB 4706.1—2005</w:t>
            </w:r>
          </w:p>
          <w:p w14:paraId="4BC47F14">
            <w:pPr>
              <w:spacing w:line="300" w:lineRule="exact"/>
              <w:jc w:val="center"/>
              <w:rPr>
                <w:rFonts w:hint="eastAsia"/>
                <w:szCs w:val="21"/>
              </w:rPr>
            </w:pPr>
            <w:r>
              <w:rPr>
                <w:szCs w:val="21"/>
              </w:rPr>
              <w:t>GB 4706.84—2007</w:t>
            </w:r>
          </w:p>
          <w:p w14:paraId="07E6ED3A">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54A5BE0B">
            <w:pPr>
              <w:snapToGrid w:val="0"/>
              <w:spacing w:line="300" w:lineRule="exact"/>
              <w:jc w:val="center"/>
              <w:rPr>
                <w:color w:val="000000"/>
                <w:szCs w:val="21"/>
              </w:rPr>
            </w:pPr>
            <w:r>
              <w:rPr>
                <w:szCs w:val="21"/>
              </w:rPr>
              <w:t>GB/T 4706.84—20</w:t>
            </w:r>
            <w:r>
              <w:rPr>
                <w:rFonts w:hint="eastAsia"/>
                <w:szCs w:val="21"/>
              </w:rPr>
              <w:t>24</w:t>
            </w:r>
          </w:p>
        </w:tc>
      </w:tr>
      <w:tr w14:paraId="3152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70F8B164">
            <w:pPr>
              <w:spacing w:line="300" w:lineRule="exact"/>
              <w:jc w:val="center"/>
              <w:textAlignment w:val="center"/>
              <w:rPr>
                <w:color w:val="000000"/>
                <w:szCs w:val="21"/>
              </w:rPr>
            </w:pPr>
            <w:r>
              <w:rPr>
                <w:kern w:val="0"/>
                <w:szCs w:val="21"/>
              </w:rPr>
              <w:t>6</w:t>
            </w:r>
          </w:p>
        </w:tc>
        <w:tc>
          <w:tcPr>
            <w:tcW w:w="2552" w:type="pct"/>
            <w:noWrap w:val="0"/>
            <w:vAlign w:val="center"/>
          </w:tcPr>
          <w:p w14:paraId="337AF8A2">
            <w:pPr>
              <w:snapToGrid w:val="0"/>
              <w:spacing w:line="300" w:lineRule="exact"/>
              <w:jc w:val="center"/>
              <w:rPr>
                <w:rFonts w:hint="eastAsia"/>
                <w:color w:val="FF0000"/>
                <w:szCs w:val="21"/>
              </w:rPr>
            </w:pPr>
            <w:r>
              <w:rPr>
                <w:rStyle w:val="10"/>
                <w:color w:val="000000"/>
                <w:szCs w:val="21"/>
              </w:rPr>
              <w:t>非正常工作（不包括第19.11.4条试验）</w:t>
            </w:r>
          </w:p>
        </w:tc>
        <w:tc>
          <w:tcPr>
            <w:tcW w:w="1975" w:type="pct"/>
            <w:noWrap w:val="0"/>
            <w:vAlign w:val="center"/>
          </w:tcPr>
          <w:p w14:paraId="5B931A31">
            <w:pPr>
              <w:spacing w:line="300" w:lineRule="exact"/>
              <w:jc w:val="center"/>
              <w:rPr>
                <w:szCs w:val="21"/>
              </w:rPr>
            </w:pPr>
            <w:r>
              <w:rPr>
                <w:szCs w:val="21"/>
              </w:rPr>
              <w:t>GB 4706.1—2005</w:t>
            </w:r>
          </w:p>
          <w:p w14:paraId="4A9027DE">
            <w:pPr>
              <w:spacing w:line="300" w:lineRule="exact"/>
              <w:jc w:val="center"/>
              <w:rPr>
                <w:rFonts w:hint="eastAsia"/>
                <w:szCs w:val="21"/>
              </w:rPr>
            </w:pPr>
            <w:r>
              <w:rPr>
                <w:szCs w:val="21"/>
              </w:rPr>
              <w:t>GB 4706.84—2007</w:t>
            </w:r>
          </w:p>
          <w:p w14:paraId="46BE52A9">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740B722D">
            <w:pPr>
              <w:snapToGrid w:val="0"/>
              <w:spacing w:line="300" w:lineRule="exact"/>
              <w:jc w:val="center"/>
              <w:rPr>
                <w:color w:val="000000"/>
                <w:szCs w:val="21"/>
              </w:rPr>
            </w:pPr>
            <w:r>
              <w:rPr>
                <w:szCs w:val="21"/>
              </w:rPr>
              <w:t>GB/T 4706.84—20</w:t>
            </w:r>
            <w:r>
              <w:rPr>
                <w:rFonts w:hint="eastAsia"/>
                <w:szCs w:val="21"/>
              </w:rPr>
              <w:t>24</w:t>
            </w:r>
          </w:p>
        </w:tc>
      </w:tr>
      <w:tr w14:paraId="6373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5AD4A2B0">
            <w:pPr>
              <w:spacing w:line="300" w:lineRule="exact"/>
              <w:jc w:val="center"/>
              <w:textAlignment w:val="center"/>
              <w:rPr>
                <w:color w:val="000000"/>
                <w:szCs w:val="21"/>
              </w:rPr>
            </w:pPr>
            <w:r>
              <w:rPr>
                <w:kern w:val="0"/>
                <w:szCs w:val="21"/>
              </w:rPr>
              <w:t>7</w:t>
            </w:r>
          </w:p>
        </w:tc>
        <w:tc>
          <w:tcPr>
            <w:tcW w:w="2552" w:type="pct"/>
            <w:noWrap w:val="0"/>
            <w:vAlign w:val="center"/>
          </w:tcPr>
          <w:p w14:paraId="6C41CDC4">
            <w:pPr>
              <w:snapToGrid w:val="0"/>
              <w:spacing w:line="300" w:lineRule="exact"/>
              <w:jc w:val="center"/>
              <w:rPr>
                <w:color w:val="000000"/>
                <w:szCs w:val="21"/>
              </w:rPr>
            </w:pPr>
            <w:r>
              <w:rPr>
                <w:rFonts w:hint="eastAsia"/>
                <w:color w:val="000000"/>
                <w:szCs w:val="21"/>
              </w:rPr>
              <w:t>稳定性和机械危险</w:t>
            </w:r>
          </w:p>
        </w:tc>
        <w:tc>
          <w:tcPr>
            <w:tcW w:w="1975" w:type="pct"/>
            <w:noWrap w:val="0"/>
            <w:vAlign w:val="center"/>
          </w:tcPr>
          <w:p w14:paraId="6E18B985">
            <w:pPr>
              <w:spacing w:line="300" w:lineRule="exact"/>
              <w:jc w:val="center"/>
              <w:rPr>
                <w:szCs w:val="21"/>
              </w:rPr>
            </w:pPr>
            <w:r>
              <w:rPr>
                <w:szCs w:val="21"/>
              </w:rPr>
              <w:t>GB 4706.1—2005</w:t>
            </w:r>
          </w:p>
          <w:p w14:paraId="23B1BCC6">
            <w:pPr>
              <w:spacing w:line="300" w:lineRule="exact"/>
              <w:jc w:val="center"/>
              <w:rPr>
                <w:rFonts w:hint="eastAsia"/>
                <w:szCs w:val="21"/>
              </w:rPr>
            </w:pPr>
            <w:r>
              <w:rPr>
                <w:szCs w:val="21"/>
              </w:rPr>
              <w:t>GB 4706.84—2007</w:t>
            </w:r>
          </w:p>
          <w:p w14:paraId="1995B024">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3A05A9C6">
            <w:pPr>
              <w:snapToGrid w:val="0"/>
              <w:spacing w:line="300" w:lineRule="exact"/>
              <w:jc w:val="center"/>
              <w:rPr>
                <w:color w:val="000000"/>
                <w:szCs w:val="21"/>
              </w:rPr>
            </w:pPr>
            <w:r>
              <w:rPr>
                <w:szCs w:val="21"/>
              </w:rPr>
              <w:t>GB/T 4706.84—20</w:t>
            </w:r>
            <w:r>
              <w:rPr>
                <w:rFonts w:hint="eastAsia"/>
                <w:szCs w:val="21"/>
              </w:rPr>
              <w:t>24</w:t>
            </w:r>
          </w:p>
        </w:tc>
      </w:tr>
      <w:tr w14:paraId="3FF8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317805A3">
            <w:pPr>
              <w:spacing w:line="300" w:lineRule="exact"/>
              <w:jc w:val="center"/>
              <w:textAlignment w:val="center"/>
              <w:rPr>
                <w:color w:val="000000"/>
                <w:szCs w:val="21"/>
              </w:rPr>
            </w:pPr>
            <w:r>
              <w:rPr>
                <w:kern w:val="0"/>
                <w:szCs w:val="21"/>
              </w:rPr>
              <w:t>8</w:t>
            </w:r>
          </w:p>
        </w:tc>
        <w:tc>
          <w:tcPr>
            <w:tcW w:w="2552" w:type="pct"/>
            <w:noWrap w:val="0"/>
            <w:vAlign w:val="center"/>
          </w:tcPr>
          <w:p w14:paraId="2B3B763A">
            <w:pPr>
              <w:snapToGrid w:val="0"/>
              <w:spacing w:line="300" w:lineRule="exact"/>
              <w:jc w:val="center"/>
              <w:rPr>
                <w:color w:val="000000"/>
                <w:szCs w:val="21"/>
              </w:rPr>
            </w:pPr>
            <w:r>
              <w:rPr>
                <w:rFonts w:hint="eastAsia"/>
                <w:color w:val="000000"/>
                <w:szCs w:val="21"/>
              </w:rPr>
              <w:t>机械强度</w:t>
            </w:r>
          </w:p>
        </w:tc>
        <w:tc>
          <w:tcPr>
            <w:tcW w:w="1975" w:type="pct"/>
            <w:noWrap w:val="0"/>
            <w:vAlign w:val="center"/>
          </w:tcPr>
          <w:p w14:paraId="78DE1E56">
            <w:pPr>
              <w:spacing w:line="300" w:lineRule="exact"/>
              <w:jc w:val="center"/>
              <w:rPr>
                <w:szCs w:val="21"/>
              </w:rPr>
            </w:pPr>
            <w:r>
              <w:rPr>
                <w:szCs w:val="21"/>
              </w:rPr>
              <w:t>GB 4706.1—2005</w:t>
            </w:r>
          </w:p>
          <w:p w14:paraId="4B4C98FC">
            <w:pPr>
              <w:spacing w:line="300" w:lineRule="exact"/>
              <w:jc w:val="center"/>
              <w:rPr>
                <w:rFonts w:hint="eastAsia"/>
                <w:szCs w:val="21"/>
              </w:rPr>
            </w:pPr>
            <w:r>
              <w:rPr>
                <w:szCs w:val="21"/>
              </w:rPr>
              <w:t>GB 4706.84—2007</w:t>
            </w:r>
          </w:p>
          <w:p w14:paraId="528D1DE7">
            <w:pPr>
              <w:spacing w:line="300" w:lineRule="exact"/>
              <w:jc w:val="center"/>
              <w:rPr>
                <w:szCs w:val="21"/>
              </w:rPr>
            </w:pPr>
            <w:r>
              <w:rPr>
                <w:szCs w:val="21"/>
              </w:rPr>
              <w:t>GB</w:t>
            </w:r>
            <w:r>
              <w:rPr>
                <w:rFonts w:hint="eastAsia"/>
                <w:szCs w:val="21"/>
              </w:rPr>
              <w:t>/T</w:t>
            </w:r>
            <w:r>
              <w:rPr>
                <w:szCs w:val="21"/>
              </w:rPr>
              <w:t xml:space="preserve"> 4706.1—20</w:t>
            </w:r>
            <w:r>
              <w:rPr>
                <w:rFonts w:hint="eastAsia"/>
                <w:szCs w:val="21"/>
              </w:rPr>
              <w:t>24</w:t>
            </w:r>
          </w:p>
          <w:p w14:paraId="015FD182">
            <w:pPr>
              <w:snapToGrid w:val="0"/>
              <w:spacing w:line="300" w:lineRule="exact"/>
              <w:jc w:val="center"/>
              <w:rPr>
                <w:color w:val="000000"/>
                <w:szCs w:val="21"/>
              </w:rPr>
            </w:pPr>
            <w:r>
              <w:rPr>
                <w:szCs w:val="21"/>
              </w:rPr>
              <w:t>GB/T 4706.84—20</w:t>
            </w:r>
            <w:r>
              <w:rPr>
                <w:rFonts w:hint="eastAsia"/>
                <w:szCs w:val="21"/>
              </w:rPr>
              <w:t>24</w:t>
            </w:r>
          </w:p>
        </w:tc>
      </w:tr>
      <w:bookmarkEnd w:id="0"/>
      <w:bookmarkEnd w:id="1"/>
      <w:bookmarkEnd w:id="2"/>
    </w:tbl>
    <w:p w14:paraId="69455747">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0B66F46">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279B2E07">
      <w:pPr>
        <w:snapToGrid w:val="0"/>
        <w:spacing w:line="440" w:lineRule="exact"/>
        <w:ind w:firstLine="359" w:firstLineChars="171"/>
        <w:rPr>
          <w:color w:val="000000"/>
          <w:szCs w:val="21"/>
        </w:rPr>
      </w:pPr>
    </w:p>
    <w:p w14:paraId="355614EE">
      <w:pPr>
        <w:spacing w:line="440" w:lineRule="exact"/>
        <w:rPr>
          <w:rFonts w:eastAsia="黑体"/>
          <w:color w:val="000000"/>
          <w:szCs w:val="21"/>
        </w:rPr>
      </w:pPr>
      <w:r>
        <w:rPr>
          <w:rFonts w:eastAsia="黑体"/>
          <w:color w:val="000000"/>
          <w:szCs w:val="21"/>
        </w:rPr>
        <w:t>3 判定规则</w:t>
      </w:r>
    </w:p>
    <w:p w14:paraId="78D57E66">
      <w:pPr>
        <w:snapToGrid w:val="0"/>
        <w:spacing w:line="440" w:lineRule="exact"/>
        <w:rPr>
          <w:color w:val="000000"/>
          <w:szCs w:val="21"/>
        </w:rPr>
      </w:pPr>
      <w:r>
        <w:rPr>
          <w:color w:val="000000"/>
          <w:szCs w:val="21"/>
        </w:rPr>
        <w:t>3.1依据标准</w:t>
      </w:r>
    </w:p>
    <w:p w14:paraId="3633AE5E">
      <w:pPr>
        <w:snapToGrid w:val="0"/>
        <w:spacing w:line="440" w:lineRule="exact"/>
        <w:ind w:firstLine="420" w:firstLineChars="200"/>
        <w:rPr>
          <w:color w:val="000000"/>
          <w:szCs w:val="21"/>
        </w:rPr>
      </w:pPr>
      <w:r>
        <w:rPr>
          <w:color w:val="000000"/>
          <w:szCs w:val="21"/>
        </w:rPr>
        <w:t>GB 4706.1—2005 家用和类似用途电器的安全</w:t>
      </w:r>
      <w:r>
        <w:rPr>
          <w:rFonts w:hint="eastAsia"/>
          <w:color w:val="000000"/>
          <w:szCs w:val="21"/>
          <w:lang w:val="en-US" w:eastAsia="zh-CN"/>
        </w:rPr>
        <w:t xml:space="preserve">  </w:t>
      </w:r>
      <w:r>
        <w:rPr>
          <w:color w:val="000000"/>
          <w:szCs w:val="21"/>
        </w:rPr>
        <w:t>第1部分：通用要求</w:t>
      </w:r>
    </w:p>
    <w:p w14:paraId="7AF01961">
      <w:pPr>
        <w:snapToGrid w:val="0"/>
        <w:spacing w:line="440" w:lineRule="exact"/>
        <w:ind w:firstLine="420" w:firstLineChars="200"/>
        <w:rPr>
          <w:color w:val="000000"/>
          <w:szCs w:val="21"/>
        </w:rPr>
      </w:pPr>
      <w:r>
        <w:rPr>
          <w:color w:val="000000"/>
          <w:szCs w:val="21"/>
        </w:rPr>
        <w:t>GB 4706.84—2007 家用和类似用途电器的安全</w:t>
      </w:r>
      <w:r>
        <w:rPr>
          <w:rFonts w:hint="eastAsia"/>
          <w:color w:val="000000"/>
          <w:szCs w:val="21"/>
          <w:lang w:val="en-US" w:eastAsia="zh-CN"/>
        </w:rPr>
        <w:t xml:space="preserve">  </w:t>
      </w:r>
      <w:r>
        <w:rPr>
          <w:color w:val="000000"/>
          <w:szCs w:val="21"/>
        </w:rPr>
        <w:t>第2部分：织物蒸汽机的特殊要求</w:t>
      </w:r>
    </w:p>
    <w:p w14:paraId="2972C04E">
      <w:pPr>
        <w:snapToGrid w:val="0"/>
        <w:spacing w:line="440" w:lineRule="exact"/>
        <w:ind w:firstLine="420" w:firstLineChars="200"/>
        <w:rPr>
          <w:rFonts w:hint="eastAsia"/>
          <w:color w:val="000000"/>
          <w:szCs w:val="21"/>
        </w:rPr>
      </w:pPr>
      <w:bookmarkStart w:id="4" w:name="OLE_LINK47"/>
      <w:bookmarkStart w:id="5" w:name="OLE_LINK48"/>
      <w:r>
        <w:rPr>
          <w:color w:val="000000"/>
          <w:szCs w:val="21"/>
        </w:rPr>
        <w:t>GB/T 4706.1</w:t>
      </w:r>
      <w:bookmarkStart w:id="6" w:name="OLE_LINK30"/>
      <w:bookmarkStart w:id="7" w:name="OLE_LINK31"/>
      <w:r>
        <w:rPr>
          <w:color w:val="000000"/>
          <w:szCs w:val="21"/>
        </w:rPr>
        <w:t>—20</w:t>
      </w:r>
      <w:bookmarkEnd w:id="6"/>
      <w:bookmarkEnd w:id="7"/>
      <w:r>
        <w:rPr>
          <w:color w:val="000000"/>
          <w:szCs w:val="21"/>
        </w:rPr>
        <w:t xml:space="preserve">24 </w:t>
      </w:r>
      <w:r>
        <w:rPr>
          <w:rFonts w:hint="eastAsia"/>
          <w:color w:val="000000"/>
          <w:szCs w:val="21"/>
        </w:rPr>
        <w:t>家用和类似用途电器的安全</w:t>
      </w:r>
      <w:r>
        <w:rPr>
          <w:rFonts w:hint="eastAsia"/>
          <w:color w:val="000000"/>
          <w:szCs w:val="21"/>
          <w:lang w:val="en-US" w:eastAsia="zh-CN"/>
        </w:rPr>
        <w:t xml:space="preserve">  </w:t>
      </w:r>
      <w:r>
        <w:rPr>
          <w:rFonts w:hint="eastAsia"/>
          <w:color w:val="000000"/>
          <w:szCs w:val="21"/>
        </w:rPr>
        <w:t>第</w:t>
      </w:r>
      <w:r>
        <w:rPr>
          <w:color w:val="000000"/>
          <w:szCs w:val="21"/>
        </w:rPr>
        <w:t>1</w:t>
      </w:r>
      <w:r>
        <w:rPr>
          <w:rFonts w:hint="eastAsia"/>
          <w:color w:val="000000"/>
          <w:szCs w:val="21"/>
        </w:rPr>
        <w:t>部分：通用要求</w:t>
      </w:r>
      <w:bookmarkEnd w:id="4"/>
      <w:bookmarkEnd w:id="5"/>
    </w:p>
    <w:p w14:paraId="3A81E46B">
      <w:pPr>
        <w:snapToGrid w:val="0"/>
        <w:spacing w:line="440" w:lineRule="exact"/>
        <w:ind w:firstLine="420" w:firstLineChars="200"/>
        <w:rPr>
          <w:color w:val="000000"/>
          <w:szCs w:val="21"/>
        </w:rPr>
      </w:pPr>
      <w:r>
        <w:rPr>
          <w:rFonts w:hint="eastAsia"/>
          <w:color w:val="000000"/>
          <w:szCs w:val="21"/>
        </w:rPr>
        <w:t>GB/T 4706.84</w:t>
      </w:r>
      <w:r>
        <w:rPr>
          <w:color w:val="000000"/>
          <w:szCs w:val="21"/>
        </w:rPr>
        <w:t>—</w:t>
      </w:r>
      <w:r>
        <w:rPr>
          <w:rFonts w:hint="eastAsia"/>
          <w:color w:val="000000"/>
          <w:szCs w:val="21"/>
        </w:rPr>
        <w:t>2024</w:t>
      </w:r>
      <w:r>
        <w:rPr>
          <w:rFonts w:hint="eastAsia"/>
          <w:color w:val="000000"/>
          <w:szCs w:val="21"/>
          <w:lang w:val="en-US" w:eastAsia="zh-CN"/>
        </w:rPr>
        <w:t xml:space="preserve"> </w:t>
      </w:r>
      <w:r>
        <w:rPr>
          <w:rFonts w:hint="eastAsia"/>
          <w:color w:val="000000"/>
          <w:szCs w:val="21"/>
        </w:rPr>
        <w:t>家用和类似用途电器的安全</w:t>
      </w:r>
      <w:r>
        <w:rPr>
          <w:rFonts w:hint="eastAsia"/>
          <w:color w:val="000000"/>
          <w:szCs w:val="21"/>
          <w:lang w:val="en-US" w:eastAsia="zh-CN"/>
        </w:rPr>
        <w:t xml:space="preserve">  </w:t>
      </w:r>
      <w:r>
        <w:rPr>
          <w:rFonts w:hint="eastAsia"/>
          <w:color w:val="000000"/>
          <w:szCs w:val="21"/>
        </w:rPr>
        <w:t>第84部分：织物蒸汽机的特殊要求</w:t>
      </w:r>
    </w:p>
    <w:p w14:paraId="53BE75A3">
      <w:pPr>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47CE6D4C">
      <w:pPr>
        <w:snapToGrid w:val="0"/>
        <w:spacing w:line="440" w:lineRule="exact"/>
        <w:rPr>
          <w:color w:val="000000"/>
          <w:szCs w:val="21"/>
        </w:rPr>
      </w:pPr>
      <w:r>
        <w:rPr>
          <w:color w:val="000000"/>
          <w:szCs w:val="21"/>
        </w:rPr>
        <w:t>3.2判定原则</w:t>
      </w:r>
    </w:p>
    <w:p w14:paraId="0AE69108">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576788F">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91C4E4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065BFE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20F1CB0C">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7E5DE9CA">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455CC1A">
      <w:pPr>
        <w:spacing w:line="440" w:lineRule="exact"/>
        <w:rPr>
          <w:rFonts w:eastAsia="黑体"/>
          <w:color w:val="000000"/>
          <w:szCs w:val="21"/>
        </w:rPr>
      </w:pPr>
    </w:p>
    <w:p w14:paraId="684A3E6F">
      <w:pPr>
        <w:snapToGrid w:val="0"/>
        <w:spacing w:line="440" w:lineRule="exact"/>
        <w:ind w:firstLine="417" w:firstLineChars="199"/>
        <w:rPr>
          <w:color w:val="FF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4B5D11-EF9D-478C-9CF5-5AC038CC9E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E17090E4-C1ED-4EB6-B229-B107091B077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4DCFB">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49AB2C1D">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17383">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5E00942E">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8BD27">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NDIxZGFmMDc4NmEwYzRiZTdlNGJhNzUyNWE5YmMifQ=="/>
  </w:docVars>
  <w:rsids>
    <w:rsidRoot w:val="00172A27"/>
    <w:rsid w:val="00022BB7"/>
    <w:rsid w:val="00051A44"/>
    <w:rsid w:val="00081BFC"/>
    <w:rsid w:val="00081CBD"/>
    <w:rsid w:val="000976DE"/>
    <w:rsid w:val="000B6ABB"/>
    <w:rsid w:val="000C71C5"/>
    <w:rsid w:val="000E64EC"/>
    <w:rsid w:val="00123D1C"/>
    <w:rsid w:val="00126E8C"/>
    <w:rsid w:val="001809DD"/>
    <w:rsid w:val="001D41FE"/>
    <w:rsid w:val="00217ADB"/>
    <w:rsid w:val="00217EFE"/>
    <w:rsid w:val="002248FC"/>
    <w:rsid w:val="00232530"/>
    <w:rsid w:val="00253624"/>
    <w:rsid w:val="00257D6A"/>
    <w:rsid w:val="00265829"/>
    <w:rsid w:val="002A26B1"/>
    <w:rsid w:val="002A4E85"/>
    <w:rsid w:val="002B1327"/>
    <w:rsid w:val="002D7F8A"/>
    <w:rsid w:val="002E0D1D"/>
    <w:rsid w:val="002E3CBD"/>
    <w:rsid w:val="003171B9"/>
    <w:rsid w:val="003203A3"/>
    <w:rsid w:val="00365CBE"/>
    <w:rsid w:val="00366AAC"/>
    <w:rsid w:val="00373250"/>
    <w:rsid w:val="003A7D30"/>
    <w:rsid w:val="003C388C"/>
    <w:rsid w:val="003D09A1"/>
    <w:rsid w:val="003D5D6D"/>
    <w:rsid w:val="003E61BF"/>
    <w:rsid w:val="004104AC"/>
    <w:rsid w:val="00423248"/>
    <w:rsid w:val="00423432"/>
    <w:rsid w:val="00425EDF"/>
    <w:rsid w:val="00441C82"/>
    <w:rsid w:val="00445E86"/>
    <w:rsid w:val="0045434D"/>
    <w:rsid w:val="00474E04"/>
    <w:rsid w:val="00497789"/>
    <w:rsid w:val="004A652D"/>
    <w:rsid w:val="004D0C5A"/>
    <w:rsid w:val="004D184C"/>
    <w:rsid w:val="004E1396"/>
    <w:rsid w:val="004E6C21"/>
    <w:rsid w:val="00563EBC"/>
    <w:rsid w:val="005A7D12"/>
    <w:rsid w:val="005A7F51"/>
    <w:rsid w:val="005C747C"/>
    <w:rsid w:val="005D5AB2"/>
    <w:rsid w:val="005E1255"/>
    <w:rsid w:val="00615D62"/>
    <w:rsid w:val="00650D07"/>
    <w:rsid w:val="006E1171"/>
    <w:rsid w:val="006F083B"/>
    <w:rsid w:val="006F0971"/>
    <w:rsid w:val="0072334C"/>
    <w:rsid w:val="00732369"/>
    <w:rsid w:val="007776A3"/>
    <w:rsid w:val="007936A9"/>
    <w:rsid w:val="007A4D3E"/>
    <w:rsid w:val="00813976"/>
    <w:rsid w:val="00895BEA"/>
    <w:rsid w:val="008A2D10"/>
    <w:rsid w:val="008A3497"/>
    <w:rsid w:val="008B0CE8"/>
    <w:rsid w:val="008C0269"/>
    <w:rsid w:val="008D611B"/>
    <w:rsid w:val="008E57A0"/>
    <w:rsid w:val="00917A54"/>
    <w:rsid w:val="009E6B57"/>
    <w:rsid w:val="00A05840"/>
    <w:rsid w:val="00A06CAA"/>
    <w:rsid w:val="00A23D98"/>
    <w:rsid w:val="00A43553"/>
    <w:rsid w:val="00AB0E18"/>
    <w:rsid w:val="00AC5391"/>
    <w:rsid w:val="00B65F23"/>
    <w:rsid w:val="00BF2B8C"/>
    <w:rsid w:val="00BF79EC"/>
    <w:rsid w:val="00C25913"/>
    <w:rsid w:val="00C26074"/>
    <w:rsid w:val="00C83B0A"/>
    <w:rsid w:val="00C8574F"/>
    <w:rsid w:val="00CE1E0C"/>
    <w:rsid w:val="00CE277E"/>
    <w:rsid w:val="00CE2D07"/>
    <w:rsid w:val="00D56867"/>
    <w:rsid w:val="00D93DF0"/>
    <w:rsid w:val="00D9546C"/>
    <w:rsid w:val="00DE21CA"/>
    <w:rsid w:val="00DF244F"/>
    <w:rsid w:val="00E02A7F"/>
    <w:rsid w:val="00E067B5"/>
    <w:rsid w:val="00E07880"/>
    <w:rsid w:val="00E47B4B"/>
    <w:rsid w:val="00E533E6"/>
    <w:rsid w:val="00E82621"/>
    <w:rsid w:val="00E91587"/>
    <w:rsid w:val="00E961E8"/>
    <w:rsid w:val="00EC25ED"/>
    <w:rsid w:val="00ED4DB4"/>
    <w:rsid w:val="00F110B9"/>
    <w:rsid w:val="00F31C0B"/>
    <w:rsid w:val="00F77C9A"/>
    <w:rsid w:val="00FB576C"/>
    <w:rsid w:val="00FD2AA6"/>
    <w:rsid w:val="00FE7E8A"/>
    <w:rsid w:val="0F757A7D"/>
    <w:rsid w:val="1A597193"/>
    <w:rsid w:val="1C365251"/>
    <w:rsid w:val="20971CA1"/>
    <w:rsid w:val="25E16C62"/>
    <w:rsid w:val="277A0467"/>
    <w:rsid w:val="49557320"/>
    <w:rsid w:val="4FC76963"/>
    <w:rsid w:val="542B28A3"/>
    <w:rsid w:val="56BA24C5"/>
    <w:rsid w:val="60BE3942"/>
    <w:rsid w:val="65C42A5C"/>
    <w:rsid w:val="703A6FAE"/>
    <w:rsid w:val="7A1D0398"/>
    <w:rsid w:val="7D3B7EFB"/>
    <w:rsid w:val="7F9A35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unhideWhenUsed/>
    <w:qFormat/>
    <w:uiPriority w:val="99"/>
    <w:rPr>
      <w:b/>
      <w:bCs/>
    </w:rPr>
  </w:style>
  <w:style w:type="character" w:styleId="10">
    <w:name w:val="page number"/>
    <w:qFormat/>
    <w:uiPriority w:val="0"/>
  </w:style>
  <w:style w:type="character" w:styleId="11">
    <w:name w:val="annotation reference"/>
    <w:unhideWhenUsed/>
    <w:qFormat/>
    <w:uiPriority w:val="99"/>
    <w:rPr>
      <w:sz w:val="21"/>
      <w:szCs w:val="21"/>
    </w:rPr>
  </w:style>
  <w:style w:type="character" w:customStyle="1" w:styleId="12">
    <w:name w:val="标题 3 Char"/>
    <w:link w:val="2"/>
    <w:qFormat/>
    <w:uiPriority w:val="9"/>
    <w:rPr>
      <w:rFonts w:ascii="宋体" w:hAnsi="宋体" w:cs="宋体"/>
      <w:b/>
      <w:bCs/>
      <w:sz w:val="27"/>
      <w:szCs w:val="27"/>
    </w:rPr>
  </w:style>
  <w:style w:type="character" w:customStyle="1" w:styleId="13">
    <w:name w:val="批注文字 Char"/>
    <w:link w:val="3"/>
    <w:semiHidden/>
    <w:qFormat/>
    <w:uiPriority w:val="99"/>
    <w:rPr>
      <w:kern w:val="2"/>
      <w:sz w:val="21"/>
      <w:szCs w:val="24"/>
    </w:rPr>
  </w:style>
  <w:style w:type="character" w:customStyle="1" w:styleId="14">
    <w:name w:val="批注框文本 Char"/>
    <w:link w:val="4"/>
    <w:semiHidden/>
    <w:qFormat/>
    <w:uiPriority w:val="99"/>
    <w:rPr>
      <w:kern w:val="2"/>
      <w:sz w:val="18"/>
      <w:szCs w:val="18"/>
    </w:rPr>
  </w:style>
  <w:style w:type="character" w:customStyle="1" w:styleId="15">
    <w:name w:val="页脚 Char"/>
    <w:link w:val="5"/>
    <w:qFormat/>
    <w:uiPriority w:val="99"/>
    <w:rPr>
      <w:kern w:val="2"/>
      <w:sz w:val="18"/>
      <w:szCs w:val="18"/>
    </w:rPr>
  </w:style>
  <w:style w:type="character" w:customStyle="1" w:styleId="16">
    <w:name w:val="页眉 Char"/>
    <w:link w:val="6"/>
    <w:semiHidden/>
    <w:qFormat/>
    <w:uiPriority w:val="99"/>
    <w:rPr>
      <w:kern w:val="2"/>
      <w:sz w:val="18"/>
      <w:szCs w:val="18"/>
    </w:rPr>
  </w:style>
  <w:style w:type="character" w:customStyle="1" w:styleId="17">
    <w:name w:val="批注主题 Char"/>
    <w:link w:val="7"/>
    <w:semiHidden/>
    <w:qFormat/>
    <w:uiPriority w:val="99"/>
    <w:rPr>
      <w:b/>
      <w:bCs/>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807</Words>
  <Characters>1271</Characters>
  <Lines>12</Lines>
  <Paragraphs>3</Paragraphs>
  <TotalTime>0</TotalTime>
  <ScaleCrop>false</ScaleCrop>
  <LinksUpToDate>false</LinksUpToDate>
  <CharactersWithSpaces>1322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2024-03-07T02:24:00Z</dcterms:created>
  <dc:creator>Legend User</dc:creator>
  <cp:lastModifiedBy>胡小东</cp:lastModifiedBy>
  <cp:lastPrinted>2019-12-05T07:53:00Z</cp:lastPrinted>
  <dcterms:modified xsi:type="dcterms:W3CDTF">2026-01-08T09:25:54Z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commondata">
    <vt:lpwstr>eyJoZGlkIjoiNDRmZDlmMjdkNDI1NjEzMmI2Y2M4ZTAxODQ5YmJlMTYifQ==</vt:lpwstr>
  </property>
  <property fmtid="{D5CDD505-2E9C-101B-9397-08002B2CF9AE}" pid="4" name="ICV">
    <vt:lpwstr>744ECDF7C9924BD3B41FC12DF70E00EB_13</vt:lpwstr>
  </property>
  <property fmtid="{D5CDD505-2E9C-101B-9397-08002B2CF9AE}" pid="5" name="KSOTemplateDocerSaveRecord">
    <vt:lpwstr>eyJoZGlkIjoiY2M4ZDc0ZTgwYzc2MWZiYWQ3NjlmNTQ5NGE2OTBjNzMiLCJ1c2VySWQiOiIxNDQ1NDQyMzY0In0=</vt:lpwstr>
  </property>
</Properties>
</file>